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E38C6" w:rsidRPr="009E38C6" w:rsidP="009E38C6">
      <w:pPr>
        <w:contextualSpacing/>
        <w:rPr>
          <w:rFonts w:ascii="Times New Roman" w:hAnsi="Times New Roman" w:cs="Times New Roman"/>
          <w:sz w:val="24"/>
          <w:szCs w:val="24"/>
        </w:rPr>
      </w:pPr>
      <w:r w:rsidRPr="009E38C6">
        <w:rPr>
          <w:rFonts w:ascii="Times New Roman" w:hAnsi="Times New Roman" w:cs="Times New Roman"/>
          <w:sz w:val="24"/>
          <w:szCs w:val="24"/>
        </w:rPr>
        <w:t>Institution;</w:t>
      </w:r>
    </w:p>
    <w:p w:rsidR="009E38C6" w:rsidRPr="009E38C6" w:rsidP="009E38C6">
      <w:pPr>
        <w:contextualSpacing/>
        <w:rPr>
          <w:rFonts w:ascii="Times New Roman" w:hAnsi="Times New Roman" w:cs="Times New Roman"/>
          <w:sz w:val="24"/>
          <w:szCs w:val="24"/>
        </w:rPr>
      </w:pPr>
      <w:r w:rsidRPr="009E38C6">
        <w:rPr>
          <w:rFonts w:ascii="Times New Roman" w:hAnsi="Times New Roman" w:cs="Times New Roman"/>
          <w:sz w:val="24"/>
          <w:szCs w:val="24"/>
        </w:rPr>
        <w:t>Professor;</w:t>
      </w:r>
    </w:p>
    <w:p w:rsidR="009E38C6" w:rsidRPr="009E38C6" w:rsidP="009E38C6">
      <w:pPr>
        <w:contextualSpacing/>
        <w:rPr>
          <w:rFonts w:ascii="Times New Roman" w:hAnsi="Times New Roman" w:cs="Times New Roman"/>
          <w:sz w:val="24"/>
          <w:szCs w:val="24"/>
        </w:rPr>
      </w:pPr>
      <w:r w:rsidRPr="009E38C6">
        <w:rPr>
          <w:rFonts w:ascii="Times New Roman" w:hAnsi="Times New Roman" w:cs="Times New Roman"/>
          <w:sz w:val="24"/>
          <w:szCs w:val="24"/>
        </w:rPr>
        <w:t>Student;</w:t>
      </w:r>
    </w:p>
    <w:p w:rsidR="009E38C6" w:rsidRPr="009E38C6" w:rsidP="009E38C6">
      <w:pPr>
        <w:contextualSpacing/>
        <w:rPr>
          <w:rFonts w:ascii="Times New Roman" w:hAnsi="Times New Roman" w:cs="Times New Roman"/>
          <w:sz w:val="24"/>
          <w:szCs w:val="24"/>
        </w:rPr>
      </w:pPr>
      <w:r w:rsidRPr="009E38C6">
        <w:rPr>
          <w:rFonts w:ascii="Times New Roman" w:hAnsi="Times New Roman" w:cs="Times New Roman"/>
          <w:sz w:val="24"/>
          <w:szCs w:val="24"/>
        </w:rPr>
        <w:t>Date;</w:t>
      </w:r>
    </w:p>
    <w:p w:rsidR="003C377F" w:rsidRPr="009E38C6" w:rsidP="00906C75">
      <w:pPr>
        <w:contextualSpacing/>
        <w:jc w:val="center"/>
        <w:rPr>
          <w:rFonts w:ascii="Times New Roman" w:hAnsi="Times New Roman" w:cs="Times New Roman"/>
          <w:b/>
          <w:sz w:val="24"/>
          <w:szCs w:val="24"/>
        </w:rPr>
      </w:pPr>
      <w:r w:rsidRPr="009E38C6">
        <w:rPr>
          <w:rFonts w:ascii="Times New Roman" w:hAnsi="Times New Roman" w:cs="Times New Roman"/>
          <w:b/>
          <w:sz w:val="24"/>
          <w:szCs w:val="24"/>
        </w:rPr>
        <w:t>Why Slaveholders want Ignorant Slaves.</w:t>
      </w:r>
    </w:p>
    <w:p w:rsidR="00906C75"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Life and Times of Frederick Douglass is Frederick Douglass' third personal history, distributed in 1881, overhauled in 1892. Due to the liberation of American slaves during and following the American Civil War, Douglass gave more insights concerning his life as a slave and his getaway from slavery. The book is isolated into three segments, with the start he offered to "His Early Life as a Slave," the second to "His Escape from Bondage," and the third to "His Complete History to his Present Time."</w:t>
      </w:r>
      <w:r w:rsidRPr="009E38C6" w:rsidR="001153EE">
        <w:rPr>
          <w:rFonts w:ascii="Times New Roman" w:hAnsi="Times New Roman" w:cs="Times New Roman"/>
          <w:sz w:val="24"/>
          <w:szCs w:val="24"/>
        </w:rPr>
        <w:t xml:space="preserve"> Life and Times of Fredrick Douglass come last after his four self-portrayals that Douglass distributed throughout his life. It was gone before by Narrative of the Life of Frederick Douglass, An American Slave (1845), My Bondage and My Freedom (1855), and the principal release of Life and Times of Fredrick Douglass (1881).</w:t>
      </w:r>
    </w:p>
    <w:p w:rsidR="001153EE"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The 1892 edition of Life and Times opens with a presentation by George Lewis Ruffin, the prominent African American alumni of Harvard Law School. He hails Douglass as their most praised hued man and "the most outstanding commitment the nation has given to the world.</w:t>
      </w:r>
      <w:r w:rsidRPr="009E38C6" w:rsidR="00DE0065">
        <w:rPr>
          <w:rFonts w:ascii="Times New Roman" w:hAnsi="Times New Roman" w:cs="Times New Roman"/>
          <w:sz w:val="24"/>
          <w:szCs w:val="24"/>
        </w:rPr>
        <w:t xml:space="preserve"> In his time, abolitionists have portrayed as a living counter-guide to slaveholders' contentions that slaves came up short on the intellectual ability to work as independent American residents. Northerners at the time thought that it was close to impossible to accept that a particularly extraordinary speaker had once been into slavery. Douglass likewise effectively upheld women's testimonials and held a few public workplaces.</w:t>
      </w:r>
    </w:p>
    <w:p w:rsidR="00DE0065"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By a long shot, the more significant piece of the slaves know as less of their ages as ponies know about theirs, and it is the wish of most bosses inside my insight to keep their slaves along these lines oblivious. I don't make sure to have at any point met a slave who co</w:t>
      </w:r>
      <w:r w:rsidRPr="009E38C6" w:rsidR="005B2E33">
        <w:rPr>
          <w:rFonts w:ascii="Times New Roman" w:hAnsi="Times New Roman" w:cs="Times New Roman"/>
          <w:sz w:val="24"/>
          <w:szCs w:val="24"/>
        </w:rPr>
        <w:t>uld recount his or her birthday, Douglas records. The ability to subjugate another class of individuals lies exclusively in the capacity to tie them in obliviousness. Explicit to the birth-date of a slave, numerous second and third-era slaves had Caucasian dads. In multiple occurrences, titles, for example, "master" and "father," would have been equivalent; however, the expression "father" was illegal among slave kids. Denying the captive of his introduction to the world date was one of a few deliberate systems, stripping his or her character and humankind.</w:t>
      </w:r>
    </w:p>
    <w:p w:rsidR="005B2E33"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References including the connection between bondage and ignorance can be found in section six of the story. One of the essential topics of the story is the force of education. The master comprehended the point that slaves could have with information and become an approach or usurp authority. Masters needed to strip captives of anything that may give the slaves a feeling of personality. Slaves were viewed as creatures forego of their emotions, thought, or character. Be that as it may, masters needed to keep the slaves at the degree of animals. They would limit them from getting the hang of, perusing, composing - they changed their names and held them back from knowing anything of their set of experiences and foundation. By doing this, slaveholders wanted to keep slaves uninformed and oppressed.</w:t>
      </w:r>
    </w:p>
    <w:p w:rsidR="00665F5A"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The white advantage. This examination extends the tradition of subjugation discussion by investigating whether white populaces build long-haul profits by slave work. In particular, Douglas sent authentic understandings of racial limit arrangement and hypotheses of substantial disparity to contend that white populaces in places that depended more intensely on slave work should encounter preferred social and financial results over the white populace in areas that relied less on slave work. I have tested this contention by using OLS relapse and area-level information from the 1860 United States Census, the 2010–2014 American Community Survey (ACS), and the 2014 United States Department of Agriculture Economic Research Service (USDA ERS). The outcomes support the argument. Chronic dependence on slave work predicts better white results on five of six measurements. I examine the ramifications of these discoveries for the race, subjection, whiteness studies, and restitutions.</w:t>
      </w:r>
    </w:p>
    <w:p w:rsidR="00665F5A"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They were building a business endeavor</w:t>
      </w:r>
      <w:r w:rsidRPr="009E38C6" w:rsidR="007D1492">
        <w:rPr>
          <w:rFonts w:ascii="Times New Roman" w:hAnsi="Times New Roman" w:cs="Times New Roman"/>
          <w:sz w:val="24"/>
          <w:szCs w:val="24"/>
        </w:rPr>
        <w:t xml:space="preserve"> out of the wild required work and a considerable amount of it. For a significant part of the 1600s, the American states worked as rural economies, driven generally by contracted subjugation. Most specialists were poor, jobless workers from Europe who, similar to other people, had gone to North America for another life. In return for their work, they got food and asylum, specific training, and once in a while, an exchange. This made it possible for the slaveholders to feel an entitlement to look and purchase the slaves as they say and impose ignorance in them and subsequently maintain the supremacy based on their color given that the history states it was the white race affairs. This endeavor resulted in today's economy that was built through slavery.</w:t>
      </w:r>
    </w:p>
    <w:p w:rsidR="00205ED7"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Riches and the Confederacy. </w:t>
      </w:r>
      <w:r w:rsidRPr="009E38C6">
        <w:rPr>
          <w:rFonts w:ascii="Times New Roman" w:hAnsi="Times New Roman" w:cs="Times New Roman"/>
          <w:sz w:val="24"/>
          <w:szCs w:val="24"/>
        </w:rPr>
        <w:t>Cotton</w:t>
      </w:r>
      <w:r w:rsidRPr="009E38C6">
        <w:rPr>
          <w:rFonts w:ascii="Times New Roman" w:hAnsi="Times New Roman" w:cs="Times New Roman"/>
          <w:sz w:val="24"/>
          <w:szCs w:val="24"/>
        </w:rPr>
        <w:t xml:space="preserve"> becomes crucial for the proceeded development of America's economy.</w:t>
      </w:r>
      <w:r w:rsidRPr="009E38C6">
        <w:rPr>
          <w:rFonts w:ascii="Times New Roman" w:hAnsi="Times New Roman" w:cs="Times New Roman"/>
          <w:sz w:val="24"/>
          <w:szCs w:val="24"/>
        </w:rPr>
        <w:t xml:space="preserve"> The economic tension and pressure on the South positioned a wedge between the North and South. With the overpowering benefit over the South in the populace, mechanical yield and abundance, and the flourishing cotton economy, most Southerners were idealistic about their future. For this great ideology, when slavery was the only way to confide labor, the masters were determined to keep their slaves by all means and, most importantly, ensure they remained ignorant about their reality. This reason gave birth to the rise of economic, social classes, and the high economic level only showed how smart the masters were in the slavery</w:t>
      </w:r>
      <w:r w:rsidRPr="009E38C6" w:rsidR="000B7C71">
        <w:rPr>
          <w:rFonts w:ascii="Times New Roman" w:hAnsi="Times New Roman" w:cs="Times New Roman"/>
          <w:sz w:val="24"/>
          <w:szCs w:val="24"/>
        </w:rPr>
        <w:t xml:space="preserve"> market.</w:t>
      </w:r>
    </w:p>
    <w:p w:rsidR="000B7C71"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Dominant culture. The genealogical vibe that trusted it was okay to subjugate another individual, all disarray about the idea of why and how blacks and whites have been identifying with each other, would be eradicated right then and there of disclosure. I regularly can't help thinking about why this occasion has not yet occurred? In dismissing the concentration from blacks to take part in their own spirit's pursuit, do whites expect that we would ascend and participate in a slaughter of reprisal? I end up knowing the inverse would be valid because we as a group would be too caught up with appreciating the help from all the investigations we're never-ending under to give answers we don't have a lot won't ever have. In reality, we'd be too occupied chilling with a significant appreciation for the genuinely necessary break!</w:t>
      </w:r>
    </w:p>
    <w:p w:rsidR="000B7C71"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Skin color characterizes a man. </w:t>
      </w:r>
      <w:r w:rsidRPr="009E38C6" w:rsidR="00CB529E">
        <w:rPr>
          <w:rFonts w:ascii="Times New Roman" w:hAnsi="Times New Roman" w:cs="Times New Roman"/>
          <w:sz w:val="24"/>
          <w:szCs w:val="24"/>
        </w:rPr>
        <w:t>The white had the possibility that every individual of color ought to have no rights and should be viewed as only property of their proprietor. Bondage "apparently" was something worth being thankful for because the slave proprietors dealt with their slaves by giving them food to eat, the spot to rest, and a task. The lenience of servitude is, basically, the lenience of barbarism. If all men are conceived free, how could it be that some are slaves? For these reasons, the slaveholders took every opportunity to ensure they have successfully imposed ignorance in their slaves for the view that they were not humans.</w:t>
      </w:r>
    </w:p>
    <w:p w:rsidR="00035310"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Oversight role. The slaveholders felt that they were obligated to oversite all the activity of the lesser good race. This lead to exploration in the continents that were home to the said slave; they took complete control of any inside affair involving them; through the fact that Africans were ignorant, the whites had an easy time oppressing the Africans. They felt the need to look at the Africans as the underdogs in respect to serving them by all means; this was the extension to which the ignorance changed </w:t>
      </w:r>
      <w:r w:rsidRPr="009E38C6">
        <w:rPr>
          <w:rFonts w:ascii="Times New Roman" w:hAnsi="Times New Roman" w:cs="Times New Roman"/>
          <w:sz w:val="24"/>
          <w:szCs w:val="24"/>
        </w:rPr>
        <w:t>the slave's mind, and the slaveholders were happy about it, and they provided every platform and energy to ensure that their slaves remained ignorant.</w:t>
      </w:r>
    </w:p>
    <w:p w:rsidR="00035310" w:rsidRPr="009E38C6" w:rsidP="00906C75">
      <w:pPr>
        <w:contextualSpacing/>
        <w:rPr>
          <w:rFonts w:ascii="Times New Roman" w:hAnsi="Times New Roman" w:cs="Times New Roman"/>
          <w:sz w:val="24"/>
          <w:szCs w:val="24"/>
        </w:rPr>
      </w:pPr>
    </w:p>
    <w:p w:rsidR="00035310"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Slaveholders</w:t>
      </w:r>
      <w:r w:rsidRPr="009E38C6">
        <w:rPr>
          <w:rFonts w:ascii="Times New Roman" w:hAnsi="Times New Roman" w:cs="Times New Roman"/>
          <w:sz w:val="24"/>
          <w:szCs w:val="24"/>
        </w:rPr>
        <w:t xml:space="preserve"> didn't need the captives to create personhood.</w:t>
      </w:r>
      <w:r w:rsidRPr="009E38C6">
        <w:rPr>
          <w:rFonts w:ascii="Times New Roman" w:hAnsi="Times New Roman" w:cs="Times New Roman"/>
          <w:sz w:val="24"/>
          <w:szCs w:val="24"/>
        </w:rPr>
        <w:t xml:space="preserve"> The thinking is a lot of something similar to stay discreet. Individuals feel a feeling of character with their families. Indeed, even today, individuals love knowing where their progenitors came from and their social and cultural heritage. They needed to keep them in accommodation to their proprietors. In any event, something as essential as a parent - kids relationship. Douglass himself calls attention to slaveholders who saw slaves asking about their birthday as having anxious spirits; these individuals need to be people and decline to be viewed as excessive property.</w:t>
      </w:r>
    </w:p>
    <w:p w:rsidR="00FE415C"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Authority. Slaveholders considered proficiency to be a danger to the </w:t>
      </w:r>
      <w:r w:rsidRPr="009E38C6" w:rsidR="00DB0584">
        <w:rPr>
          <w:rFonts w:ascii="Times New Roman" w:hAnsi="Times New Roman" w:cs="Times New Roman"/>
          <w:sz w:val="24"/>
          <w:szCs w:val="24"/>
        </w:rPr>
        <w:t xml:space="preserve">establishment of slavery </w:t>
      </w:r>
      <w:r w:rsidRPr="009E38C6">
        <w:rPr>
          <w:rFonts w:ascii="Times New Roman" w:hAnsi="Times New Roman" w:cs="Times New Roman"/>
          <w:sz w:val="24"/>
          <w:szCs w:val="24"/>
        </w:rPr>
        <w:t>and their monetary interest; as a N</w:t>
      </w:r>
      <w:r w:rsidRPr="009E38C6" w:rsidR="00DB0584">
        <w:rPr>
          <w:rFonts w:ascii="Times New Roman" w:hAnsi="Times New Roman" w:cs="Times New Roman"/>
          <w:sz w:val="24"/>
          <w:szCs w:val="24"/>
        </w:rPr>
        <w:t xml:space="preserve">orth Carolina rule expressed, </w:t>
      </w:r>
      <w:r w:rsidRPr="009E38C6">
        <w:rPr>
          <w:rFonts w:ascii="Times New Roman" w:hAnsi="Times New Roman" w:cs="Times New Roman"/>
          <w:sz w:val="24"/>
          <w:szCs w:val="24"/>
        </w:rPr>
        <w:t>Teaching captives to peruse and compose a will, in general, energize disappointment in their brains and create insurgence and resistance</w:t>
      </w:r>
      <w:r w:rsidRPr="009E38C6" w:rsidR="00DB0584">
        <w:rPr>
          <w:rFonts w:ascii="Times New Roman" w:hAnsi="Times New Roman" w:cs="Times New Roman"/>
          <w:sz w:val="24"/>
          <w:szCs w:val="24"/>
        </w:rPr>
        <w:t>. As put by noticeable Washington attorney Elias B. Caldwell: The more you improve the state of these individuals, the more you develop their psyches, the more hopeless you make them in their current form. You give them a higher relish for those privileges they can never achieve and transform what we plan for a gift (slavery) into a revile. No, on the off chance that they should stay in their current circumstance, keep them in the most minimal condition of debasement and obliviousness. The closer you carry them to the state of savages, the better possibility do you give them of having their lack of care. They felt authority entitlement over the Africans.</w:t>
      </w:r>
    </w:p>
    <w:p w:rsidR="00DB0584" w:rsidRPr="009E38C6" w:rsidP="00906C75">
      <w:pPr>
        <w:contextualSpacing/>
        <w:rPr>
          <w:rFonts w:ascii="Times New Roman" w:hAnsi="Times New Roman" w:cs="Times New Roman"/>
          <w:sz w:val="24"/>
          <w:szCs w:val="24"/>
        </w:rPr>
      </w:pPr>
      <w:r w:rsidRPr="009E38C6">
        <w:rPr>
          <w:rFonts w:ascii="Times New Roman" w:hAnsi="Times New Roman" w:cs="Times New Roman"/>
          <w:sz w:val="24"/>
          <w:szCs w:val="24"/>
        </w:rPr>
        <w:t xml:space="preserve">Literacy domination. </w:t>
      </w:r>
      <w:r w:rsidRPr="009E38C6" w:rsidR="009C76C7">
        <w:rPr>
          <w:rFonts w:ascii="Times New Roman" w:hAnsi="Times New Roman" w:cs="Times New Roman"/>
          <w:sz w:val="24"/>
          <w:szCs w:val="24"/>
        </w:rPr>
        <w:t>State governing body passed a law that necessary all free African Americans to leave the state not to have the option to teach or affect the slave populace. Different conditions, like South Carolina, followed after accordingly. A similar enactment necessitated that any dark evangelist must be allowed to talk before showing up before an assembly. Delaware was also on the list to pass a law that forestalled the gathering of at least twelve blacks late around evening time; furthermore, dark evangelists were to appeal to an appointed authority or equity of the harmo</w:t>
      </w:r>
      <w:bookmarkStart w:id="0" w:name="_GoBack"/>
      <w:bookmarkEnd w:id="0"/>
      <w:r w:rsidRPr="009E38C6" w:rsidR="009C76C7">
        <w:rPr>
          <w:rFonts w:ascii="Times New Roman" w:hAnsi="Times New Roman" w:cs="Times New Roman"/>
          <w:sz w:val="24"/>
          <w:szCs w:val="24"/>
        </w:rPr>
        <w:t>ny before talking before any get together. This is also strengthened in the ground of the fact slaveholders felt to a great sense that they were far much superior and they were in charge of the blacks.</w:t>
      </w:r>
    </w:p>
    <w:p w:rsidR="00035310" w:rsidRPr="009E38C6" w:rsidP="00906C75">
      <w:pPr>
        <w:contextualSpacing/>
        <w:rPr>
          <w:rFonts w:ascii="Times New Roman" w:hAnsi="Times New Roman" w:cs="Times New Roman"/>
          <w:sz w:val="24"/>
          <w:szCs w:val="24"/>
        </w:rPr>
      </w:pPr>
    </w:p>
    <w:p w:rsidR="007D1492" w:rsidRPr="009E38C6" w:rsidP="00906C75">
      <w:pPr>
        <w:contextualSpacing/>
        <w:rPr>
          <w:rFonts w:ascii="Times New Roman" w:hAnsi="Times New Roman" w:cs="Times New Roman"/>
          <w:sz w:val="24"/>
          <w:szCs w:val="24"/>
        </w:rPr>
      </w:pPr>
    </w:p>
    <w:p w:rsidR="00E47070"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06C75">
      <w:pPr>
        <w:contextualSpacing/>
        <w:rPr>
          <w:rFonts w:ascii="Times New Roman" w:hAnsi="Times New Roman" w:cs="Times New Roman"/>
          <w:sz w:val="24"/>
          <w:szCs w:val="24"/>
        </w:rPr>
      </w:pPr>
    </w:p>
    <w:p w:rsidR="009E38C6" w:rsidRPr="009E38C6" w:rsidP="009E38C6">
      <w:pPr>
        <w:contextualSpacing/>
        <w:jc w:val="center"/>
        <w:rPr>
          <w:rFonts w:ascii="Times New Roman" w:hAnsi="Times New Roman" w:cs="Times New Roman"/>
          <w:b/>
          <w:sz w:val="24"/>
          <w:szCs w:val="24"/>
        </w:rPr>
      </w:pPr>
      <w:r w:rsidRPr="009E38C6">
        <w:rPr>
          <w:rFonts w:ascii="Times New Roman" w:hAnsi="Times New Roman" w:cs="Times New Roman"/>
          <w:b/>
          <w:sz w:val="24"/>
          <w:szCs w:val="24"/>
        </w:rPr>
        <w:t>Works cited;</w:t>
      </w:r>
    </w:p>
    <w:p w:rsidR="009E38C6" w:rsidRPr="009E38C6" w:rsidP="009E38C6">
      <w:pPr>
        <w:pStyle w:val="ListParagraph"/>
        <w:numPr>
          <w:ilvl w:val="0"/>
          <w:numId w:val="1"/>
        </w:numPr>
        <w:rPr>
          <w:rFonts w:ascii="Times New Roman" w:hAnsi="Times New Roman" w:cs="Times New Roman"/>
          <w:color w:val="222222"/>
          <w:sz w:val="24"/>
          <w:szCs w:val="24"/>
          <w:shd w:val="clear" w:color="auto" w:fill="FFFFFF"/>
        </w:rPr>
      </w:pPr>
      <w:r w:rsidRPr="009E38C6">
        <w:rPr>
          <w:rFonts w:ascii="Times New Roman" w:hAnsi="Times New Roman" w:cs="Times New Roman"/>
          <w:color w:val="222222"/>
          <w:sz w:val="24"/>
          <w:szCs w:val="24"/>
          <w:shd w:val="clear" w:color="auto" w:fill="FFFFFF"/>
        </w:rPr>
        <w:t>Abbate, C. E. "On Moral Ignorance and Mistakes of Fact: a Response to Harman." </w:t>
      </w:r>
      <w:r w:rsidRPr="009E38C6">
        <w:rPr>
          <w:rFonts w:ascii="Times New Roman" w:hAnsi="Times New Roman" w:cs="Times New Roman"/>
          <w:i/>
          <w:iCs/>
          <w:color w:val="222222"/>
          <w:sz w:val="24"/>
          <w:szCs w:val="24"/>
          <w:shd w:val="clear" w:color="auto" w:fill="FFFFFF"/>
        </w:rPr>
        <w:t>Philosophia</w:t>
      </w:r>
      <w:r w:rsidRPr="009E38C6">
        <w:rPr>
          <w:rFonts w:ascii="Times New Roman" w:hAnsi="Times New Roman" w:cs="Times New Roman"/>
          <w:color w:val="222222"/>
          <w:sz w:val="24"/>
          <w:szCs w:val="24"/>
          <w:shd w:val="clear" w:color="auto" w:fill="FFFFFF"/>
        </w:rPr>
        <w:t> (2020): 1-8.</w:t>
      </w:r>
    </w:p>
    <w:p w:rsidR="009E38C6" w:rsidRPr="009E38C6" w:rsidP="009E38C6">
      <w:pPr>
        <w:pStyle w:val="ListParagraph"/>
        <w:numPr>
          <w:ilvl w:val="0"/>
          <w:numId w:val="1"/>
        </w:numPr>
        <w:rPr>
          <w:rFonts w:ascii="Times New Roman" w:hAnsi="Times New Roman" w:cs="Times New Roman"/>
          <w:sz w:val="24"/>
          <w:szCs w:val="24"/>
        </w:rPr>
      </w:pPr>
      <w:r w:rsidRPr="009E38C6">
        <w:rPr>
          <w:rFonts w:ascii="Times New Roman" w:hAnsi="Times New Roman" w:cs="Times New Roman"/>
          <w:color w:val="222222"/>
          <w:sz w:val="24"/>
          <w:szCs w:val="24"/>
          <w:shd w:val="clear" w:color="auto" w:fill="FFFFFF"/>
        </w:rPr>
        <w:t>Davidson, Jack R. </w:t>
      </w:r>
      <w:r w:rsidRPr="009E38C6">
        <w:rPr>
          <w:rFonts w:ascii="Times New Roman" w:hAnsi="Times New Roman" w:cs="Times New Roman"/>
          <w:i/>
          <w:iCs/>
          <w:color w:val="222222"/>
          <w:sz w:val="24"/>
          <w:szCs w:val="24"/>
          <w:shd w:val="clear" w:color="auto" w:fill="FFFFFF"/>
        </w:rPr>
        <w:t xml:space="preserve">American Slavery and the Immediate Duty of Southern Slaveholders: A Transcription of Eli Washington Caruthers’s </w:t>
      </w:r>
      <w:r w:rsidRPr="009E38C6">
        <w:rPr>
          <w:rFonts w:ascii="Times New Roman" w:hAnsi="Times New Roman" w:cs="Times New Roman"/>
          <w:i/>
          <w:iCs/>
          <w:color w:val="222222"/>
          <w:sz w:val="24"/>
          <w:szCs w:val="24"/>
          <w:shd w:val="clear" w:color="auto" w:fill="FFFFFF"/>
        </w:rPr>
        <w:t>unpublished</w:t>
      </w:r>
      <w:r w:rsidRPr="009E38C6">
        <w:rPr>
          <w:rFonts w:ascii="Times New Roman" w:hAnsi="Times New Roman" w:cs="Times New Roman"/>
          <w:i/>
          <w:iCs/>
          <w:color w:val="222222"/>
          <w:sz w:val="24"/>
          <w:szCs w:val="24"/>
          <w:shd w:val="clear" w:color="auto" w:fill="FFFFFF"/>
        </w:rPr>
        <w:t xml:space="preserve"> Manuscript against Slavery</w:t>
      </w:r>
      <w:r w:rsidRPr="009E38C6">
        <w:rPr>
          <w:rFonts w:ascii="Times New Roman" w:hAnsi="Times New Roman" w:cs="Times New Roman"/>
          <w:color w:val="222222"/>
          <w:sz w:val="24"/>
          <w:szCs w:val="24"/>
          <w:shd w:val="clear" w:color="auto" w:fill="FFFFFF"/>
        </w:rPr>
        <w:t>. Wipf and Stock Publishers, 2018.</w:t>
      </w:r>
    </w:p>
    <w:p w:rsidR="009E38C6" w:rsidRPr="009E38C6" w:rsidP="00906C75">
      <w:pPr>
        <w:contextualSpacing/>
        <w:rPr>
          <w:rFonts w:ascii="Times New Roman" w:hAnsi="Times New Roman" w:cs="Times New Roman"/>
          <w:sz w:val="24"/>
          <w:szCs w:val="24"/>
        </w:rPr>
      </w:pPr>
    </w:p>
    <w:p w:rsidR="009E38C6" w:rsidRPr="009E38C6" w:rsidP="009E38C6">
      <w:pPr>
        <w:pStyle w:val="ListParagraph"/>
        <w:numPr>
          <w:ilvl w:val="0"/>
          <w:numId w:val="1"/>
        </w:numPr>
        <w:rPr>
          <w:rFonts w:ascii="Times New Roman" w:hAnsi="Times New Roman" w:cs="Times New Roman"/>
          <w:color w:val="222222"/>
          <w:sz w:val="24"/>
          <w:szCs w:val="24"/>
          <w:shd w:val="clear" w:color="auto" w:fill="FFFFFF"/>
        </w:rPr>
      </w:pPr>
      <w:r w:rsidRPr="009E38C6">
        <w:rPr>
          <w:rFonts w:ascii="Times New Roman" w:hAnsi="Times New Roman" w:cs="Times New Roman"/>
          <w:color w:val="222222"/>
          <w:sz w:val="24"/>
          <w:szCs w:val="24"/>
          <w:shd w:val="clear" w:color="auto" w:fill="FFFFFF"/>
        </w:rPr>
        <w:t>Wieland, Jan Willem. "Willful ignorance." </w:t>
      </w:r>
      <w:r w:rsidRPr="009E38C6">
        <w:rPr>
          <w:rFonts w:ascii="Times New Roman" w:hAnsi="Times New Roman" w:cs="Times New Roman"/>
          <w:i/>
          <w:iCs/>
          <w:color w:val="222222"/>
          <w:sz w:val="24"/>
          <w:szCs w:val="24"/>
          <w:shd w:val="clear" w:color="auto" w:fill="FFFFFF"/>
        </w:rPr>
        <w:t>Ethical Theory and Moral Practice</w:t>
      </w:r>
      <w:r w:rsidRPr="009E38C6">
        <w:rPr>
          <w:rFonts w:ascii="Times New Roman" w:hAnsi="Times New Roman" w:cs="Times New Roman"/>
          <w:color w:val="222222"/>
          <w:sz w:val="24"/>
          <w:szCs w:val="24"/>
          <w:shd w:val="clear" w:color="auto" w:fill="FFFFFF"/>
        </w:rPr>
        <w:t> 20.1 (2017): 105-119.</w:t>
      </w:r>
    </w:p>
    <w:p w:rsidR="009E38C6" w:rsidRPr="009E38C6" w:rsidP="00906C75">
      <w:pPr>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7726336"/>
      <w:docPartObj>
        <w:docPartGallery w:val="Page Numbers (Top of Page)"/>
        <w:docPartUnique/>
      </w:docPartObj>
    </w:sdtPr>
    <w:sdtEndPr>
      <w:rPr>
        <w:noProof/>
      </w:rPr>
    </w:sdtEndPr>
    <w:sdtContent>
      <w:p w:rsidR="009E38C6">
        <w:pPr>
          <w:pStyle w:val="Header"/>
          <w:jc w:val="right"/>
        </w:pPr>
        <w:r>
          <w:t xml:space="preserve">Surname </w:t>
        </w:r>
        <w:r>
          <w:fldChar w:fldCharType="begin"/>
        </w:r>
        <w:r>
          <w:instrText xml:space="preserve"> PAGE   \* MERGEFORMAT </w:instrText>
        </w:r>
        <w:r>
          <w:fldChar w:fldCharType="separate"/>
        </w:r>
        <w:r w:rsidR="006A2B2D">
          <w:rPr>
            <w:noProof/>
          </w:rPr>
          <w:t>1</w:t>
        </w:r>
        <w:r>
          <w:rPr>
            <w:noProof/>
          </w:rPr>
          <w:fldChar w:fldCharType="end"/>
        </w:r>
      </w:p>
    </w:sdtContent>
  </w:sdt>
  <w:p w:rsidR="009E3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9F5AA8"/>
    <w:multiLevelType w:val="hybridMultilevel"/>
    <w:tmpl w:val="4984D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75"/>
    <w:rsid w:val="00035310"/>
    <w:rsid w:val="000B7C71"/>
    <w:rsid w:val="001153EE"/>
    <w:rsid w:val="00205ED7"/>
    <w:rsid w:val="003C377F"/>
    <w:rsid w:val="00443879"/>
    <w:rsid w:val="004E77B7"/>
    <w:rsid w:val="005B2E33"/>
    <w:rsid w:val="00665F5A"/>
    <w:rsid w:val="006A2B2D"/>
    <w:rsid w:val="007D1492"/>
    <w:rsid w:val="00906C75"/>
    <w:rsid w:val="009C76C7"/>
    <w:rsid w:val="009E38C6"/>
    <w:rsid w:val="00CB529E"/>
    <w:rsid w:val="00DB0584"/>
    <w:rsid w:val="00DE0065"/>
    <w:rsid w:val="00E47070"/>
    <w:rsid w:val="00FE41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90BAB"/>
  <w15:chartTrackingRefBased/>
  <w15:docId w15:val="{0B3C3211-0343-41D2-B345-F7921357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8C6"/>
    <w:pPr>
      <w:ind w:left="720"/>
      <w:contextualSpacing/>
    </w:pPr>
  </w:style>
  <w:style w:type="paragraph" w:styleId="Header">
    <w:name w:val="header"/>
    <w:basedOn w:val="Normal"/>
    <w:link w:val="HeaderChar"/>
    <w:uiPriority w:val="99"/>
    <w:unhideWhenUsed/>
    <w:rsid w:val="009E38C6"/>
    <w:pPr>
      <w:tabs>
        <w:tab w:val="center" w:pos="4680"/>
        <w:tab w:val="right" w:pos="9360"/>
      </w:tabs>
      <w:spacing w:line="240" w:lineRule="auto"/>
    </w:pPr>
  </w:style>
  <w:style w:type="character" w:customStyle="1" w:styleId="HeaderChar">
    <w:name w:val="Header Char"/>
    <w:basedOn w:val="DefaultParagraphFont"/>
    <w:link w:val="Header"/>
    <w:uiPriority w:val="99"/>
    <w:rsid w:val="009E38C6"/>
  </w:style>
  <w:style w:type="paragraph" w:styleId="Footer">
    <w:name w:val="footer"/>
    <w:basedOn w:val="Normal"/>
    <w:link w:val="FooterChar"/>
    <w:uiPriority w:val="99"/>
    <w:unhideWhenUsed/>
    <w:rsid w:val="009E38C6"/>
    <w:pPr>
      <w:tabs>
        <w:tab w:val="center" w:pos="4680"/>
        <w:tab w:val="right" w:pos="9360"/>
      </w:tabs>
      <w:spacing w:line="240" w:lineRule="auto"/>
    </w:pPr>
  </w:style>
  <w:style w:type="character" w:customStyle="1" w:styleId="FooterChar">
    <w:name w:val="Footer Char"/>
    <w:basedOn w:val="DefaultParagraphFont"/>
    <w:link w:val="Footer"/>
    <w:uiPriority w:val="99"/>
    <w:rsid w:val="009E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7</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4</cp:revision>
  <dcterms:created xsi:type="dcterms:W3CDTF">2021-04-17T03:20:00Z</dcterms:created>
  <dcterms:modified xsi:type="dcterms:W3CDTF">2021-04-18T13:55:00Z</dcterms:modified>
</cp:coreProperties>
</file>